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C22C" w14:textId="1737FE78" w:rsidR="00147B29" w:rsidRDefault="00FB56E4" w:rsidP="004561D5">
      <w:pPr>
        <w:pStyle w:val="Title"/>
        <w:rPr>
          <w:rStyle w:val="normaltextrun"/>
          <w:rFonts w:cs="Calibri"/>
          <w:szCs w:val="19"/>
        </w:rPr>
      </w:pPr>
      <w:r>
        <w:t xml:space="preserve">TT </w:t>
      </w:r>
      <w:r w:rsidR="00780101">
        <w:t>6</w:t>
      </w:r>
      <w:r>
        <w:t xml:space="preserve">: </w:t>
      </w:r>
      <w:r w:rsidR="00780101">
        <w:t>Reporting</w:t>
      </w:r>
      <w:r w:rsidR="00147B29" w:rsidRPr="00E01D6D">
        <w:t xml:space="preserve"> </w:t>
      </w:r>
      <w:r w:rsidR="004561D5">
        <w:t>Scenarios</w:t>
      </w:r>
    </w:p>
    <w:tbl>
      <w:tblPr>
        <w:tblW w:w="9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44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9350"/>
      </w:tblGrid>
      <w:tr w:rsidR="00147B29" w:rsidRPr="00147B29" w14:paraId="100D4E7A" w14:textId="77777777" w:rsidTr="00147B29">
        <w:tc>
          <w:tcPr>
            <w:tcW w:w="9350" w:type="dxa"/>
            <w:shd w:val="clear" w:color="auto" w:fill="FFFFFF"/>
            <w:vAlign w:val="center"/>
            <w:hideMark/>
          </w:tcPr>
          <w:p w14:paraId="770B857F" w14:textId="15DA3D37" w:rsidR="00147B29" w:rsidRPr="00780101" w:rsidRDefault="00780101" w:rsidP="00780101">
            <w:pPr>
              <w:pStyle w:val="Style2"/>
              <w:rPr>
                <w:rFonts w:eastAsia="Calibri"/>
              </w:rPr>
            </w:pPr>
            <w:bookmarkStart w:id="0" w:name="_Hlk138412288"/>
            <w:r w:rsidRPr="000A244B">
              <w:rPr>
                <w:b/>
                <w:bCs/>
              </w:rPr>
              <w:t>Scenario 1:</w:t>
            </w:r>
            <w:r w:rsidRPr="000A244B">
              <w:rPr>
                <w:rStyle w:val="Heading1Char"/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0A244B">
              <w:t>Mr. Abel works for a local NGO and is planning a distribution of items to people affected by flooding. You are a community leader. You are not on the list because you did not lose anything in the flood. Mr. Abel tells you that if you pay him some money [insert local amount], he will add you to the list and you can also receive a kit. He asks you not to tell anyone about this.</w:t>
            </w:r>
            <w:bookmarkEnd w:id="0"/>
          </w:p>
        </w:tc>
      </w:tr>
      <w:tr w:rsidR="00147B29" w:rsidRPr="00147B29" w14:paraId="304BF30A" w14:textId="77777777" w:rsidTr="00147B29">
        <w:tc>
          <w:tcPr>
            <w:tcW w:w="9350" w:type="dxa"/>
            <w:shd w:val="clear" w:color="auto" w:fill="FFFFFF"/>
            <w:vAlign w:val="center"/>
            <w:hideMark/>
          </w:tcPr>
          <w:p w14:paraId="69886307" w14:textId="3B1C4B34" w:rsidR="00147B29" w:rsidRPr="00780101" w:rsidRDefault="00780101" w:rsidP="00780101">
            <w:pPr>
              <w:pStyle w:val="Style2"/>
            </w:pPr>
            <w:r w:rsidRPr="000A244B">
              <w:rPr>
                <w:b/>
                <w:bCs/>
              </w:rPr>
              <w:t>Scenario 2:</w:t>
            </w:r>
            <w:r w:rsidRPr="000A244B">
              <w:t xml:space="preserve"> You are the community focal point for women’s affairs and a female community member approaches you. She tells you that a local government officer named Mr. Hasan made her have sexual intercourse with him in exchange for food aid being distributed. The female community member is very upset.</w:t>
            </w:r>
          </w:p>
        </w:tc>
      </w:tr>
    </w:tbl>
    <w:p w14:paraId="6C9A534F" w14:textId="77777777" w:rsidR="00262AED" w:rsidRPr="00262AED" w:rsidRDefault="00262AED" w:rsidP="00262AED">
      <w:pPr>
        <w:pStyle w:val="Subtitle"/>
      </w:pPr>
    </w:p>
    <w:sectPr w:rsidR="00262AED" w:rsidRPr="00262AED" w:rsidSect="00510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43C3" w14:textId="77777777" w:rsidR="00510437" w:rsidRDefault="00510437" w:rsidP="00C33D1D">
      <w:r>
        <w:separator/>
      </w:r>
    </w:p>
  </w:endnote>
  <w:endnote w:type="continuationSeparator" w:id="0">
    <w:p w14:paraId="506B05CD" w14:textId="77777777" w:rsidR="00510437" w:rsidRDefault="00510437" w:rsidP="00C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5362" w14:textId="77777777" w:rsidR="00557249" w:rsidRDefault="00557249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75A3" w14:textId="77777777" w:rsidR="00557249" w:rsidRDefault="00557249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0E19" w14:textId="77777777" w:rsidR="00557249" w:rsidRDefault="00557249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F9A4" w14:textId="77777777" w:rsidR="00510437" w:rsidRDefault="00510437" w:rsidP="00C33D1D">
      <w:r>
        <w:separator/>
      </w:r>
    </w:p>
  </w:footnote>
  <w:footnote w:type="continuationSeparator" w:id="0">
    <w:p w14:paraId="5CF887BD" w14:textId="77777777" w:rsidR="00510437" w:rsidRDefault="00510437" w:rsidP="00C3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B84E" w14:textId="77777777" w:rsidR="00557249" w:rsidRDefault="00557249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527C" w14:textId="77777777" w:rsidR="00557249" w:rsidRDefault="00557249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2006" w14:textId="77777777" w:rsidR="00130837" w:rsidRPr="008C418A" w:rsidRDefault="00130837" w:rsidP="00A476A2">
    <w:pPr>
      <w:pStyle w:val="Header"/>
      <w:framePr w:wrap="notBeside"/>
    </w:pPr>
  </w:p>
  <w:p w14:paraId="3CC83349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42FAA6" wp14:editId="6496767D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B4C7E7C" wp14:editId="409D5C86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0BE55A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6D6A6A3C" w14:textId="1A8C447E" w:rsidR="00130837" w:rsidRPr="00557249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557249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67A7702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1"/>
                        <w:p w14:paraId="4334614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4B8449DD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2D128D2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C7E7C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120BE55A" w14:textId="77777777" w:rsidR="00130837" w:rsidRPr="00A045D7" w:rsidRDefault="00130837" w:rsidP="00D62D95">
                    <w:pPr>
                      <w:pStyle w:val="CRSContactInfo"/>
                    </w:pPr>
                    <w:bookmarkStart w:id="2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6D6A6A3C" w14:textId="1A8C447E" w:rsidR="00130837" w:rsidRPr="00557249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557249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67A7702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2"/>
                  <w:p w14:paraId="4334614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4B8449DD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2D128D29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6FF355B8" wp14:editId="652C7A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1FF33B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65B574B" wp14:editId="2930DB39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2D33D" id="Straight Connector 2" o:spid="_x0000_s1026" style="position:absolute;flip:x;z-index:251656704;visibility:visible;mso-wrap-style:square;mso-width-percent:0;mso-height-percent:0;mso-wrap-distance-left:9pt;mso-wrap-distance-top:.Ìmm;mso-wrap-distance-right:9pt;mso-wrap-distance-bottom:.Ì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256E0AA" wp14:editId="69F5B41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9096A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E4"/>
    <w:rsid w:val="00004981"/>
    <w:rsid w:val="00005CBF"/>
    <w:rsid w:val="000341C3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47B29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65E7E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561D5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0437"/>
    <w:rsid w:val="00516D24"/>
    <w:rsid w:val="005232EE"/>
    <w:rsid w:val="005328D9"/>
    <w:rsid w:val="00536B7A"/>
    <w:rsid w:val="00546EA1"/>
    <w:rsid w:val="00547F72"/>
    <w:rsid w:val="00557249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66382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101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1908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B340A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128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950F9"/>
    <w:rsid w:val="00AA450D"/>
    <w:rsid w:val="00AB3EC8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6B58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3D9C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D3FBD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6E4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E49"/>
  <w15:chartTrackingRefBased/>
  <w15:docId w15:val="{FBE6A283-24FA-A74C-9CEB-6F5A021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29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147B29"/>
  </w:style>
  <w:style w:type="character" w:customStyle="1" w:styleId="eop">
    <w:name w:val="eop"/>
    <w:basedOn w:val="DefaultParagraphFont"/>
    <w:rsid w:val="00147B29"/>
  </w:style>
  <w:style w:type="paragraph" w:customStyle="1" w:styleId="paragraph">
    <w:name w:val="paragraph"/>
    <w:basedOn w:val="Normal"/>
    <w:rsid w:val="00147B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normal">
    <w:name w:val="Bullet: normal"/>
    <w:aliases w:val="level 1"/>
    <w:basedOn w:val="Normal"/>
    <w:qFormat/>
    <w:rsid w:val="00147B29"/>
    <w:pPr>
      <w:spacing w:before="80"/>
      <w:contextualSpacing/>
    </w:pPr>
    <w:rPr>
      <w:rFonts w:ascii="Calibri" w:eastAsiaTheme="minorEastAsia" w:hAnsi="Calibri" w:cs="Calibri"/>
      <w:color w:val="000000" w:themeColor="text1"/>
      <w:lang w:val="en-GB" w:eastAsia="ja-JP"/>
    </w:rPr>
  </w:style>
  <w:style w:type="paragraph" w:customStyle="1" w:styleId="Style2">
    <w:name w:val="Style2"/>
    <w:basedOn w:val="Normal"/>
    <w:qFormat/>
    <w:rsid w:val="00780101"/>
    <w:rPr>
      <w:rFonts w:ascii="Calibri" w:hAnsi="Calibri" w:cs="Calibri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2</cp:revision>
  <cp:lastPrinted>2023-03-07T17:33:00Z</cp:lastPrinted>
  <dcterms:created xsi:type="dcterms:W3CDTF">2024-01-30T21:31:00Z</dcterms:created>
  <dcterms:modified xsi:type="dcterms:W3CDTF">2024-01-30T21:31:00Z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